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PESSOA COM DEFICIÊNCIA - PCD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rFonts w:ascii="Calibri" w:cs="Calibri" w:eastAsia="Calibri" w:hAnsi="Calibri"/>
          <w:color w:val="80808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[MUNICÍPIO], [UF], [DIA], [MÊS] E [ANO].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DECLARANTE: 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567" w:right="-469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-838196</wp:posOffset>
          </wp:positionH>
          <wp:positionV relativeFrom="paragraph">
            <wp:posOffset>-449960</wp:posOffset>
          </wp:positionV>
          <wp:extent cx="7552056" cy="1067860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9324975</wp:posOffset>
          </wp:positionV>
          <wp:extent cx="1590788" cy="837702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788" cy="8377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acgdhLdvCWQqi8TQSxRAZK/MA==">CgMxLjA4AHIhMVZZSDIzc2NGR190T0tuLW1JWFlyd3h0cXNvQXdla3BR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